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3C" w:rsidRDefault="00A36E0F">
      <w:pPr>
        <w:pStyle w:val="CuerpoA"/>
        <w:jc w:val="center"/>
        <w:rPr>
          <w:rStyle w:val="NingunoA"/>
          <w:rFonts w:ascii="Helvetica Neue" w:hAnsi="Helvetica Neue" w:hint="eastAsia"/>
        </w:rPr>
      </w:pPr>
      <w:r>
        <w:rPr>
          <w:rStyle w:val="NingunoA"/>
          <w:rFonts w:ascii="Helvetica Neue" w:hAnsi="Helvetica Neue"/>
          <w:noProof/>
        </w:rPr>
        <w:drawing>
          <wp:inline distT="0" distB="0" distL="0" distR="0">
            <wp:extent cx="966623" cy="15573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5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48"/>
          <w:szCs w:val="48"/>
        </w:rPr>
      </w:pPr>
      <w:r>
        <w:rPr>
          <w:rStyle w:val="NingunoA"/>
          <w:rFonts w:ascii="Helvetica Neue" w:hAnsi="Helvetica Neue"/>
          <w:sz w:val="48"/>
          <w:szCs w:val="48"/>
          <w:lang w:val="es-ES_tradnl"/>
        </w:rPr>
        <w:t>Convocatoria para el Registro de Sedes</w:t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</w:rPr>
      </w:pPr>
      <w:r>
        <w:rPr>
          <w:rStyle w:val="NingunoA"/>
          <w:rFonts w:ascii="Helvetica Neue" w:hAnsi="Helvetica Neue"/>
          <w:lang w:val="pt-PT"/>
        </w:rPr>
        <w:t>Que aplicar</w:t>
      </w:r>
      <w:r>
        <w:rPr>
          <w:rStyle w:val="NingunoA"/>
          <w:rFonts w:ascii="Helvetica Neue" w:hAnsi="Helvetica Neue"/>
          <w:lang w:val="en-US"/>
        </w:rPr>
        <w:t>á</w:t>
      </w:r>
      <w:r>
        <w:rPr>
          <w:rStyle w:val="NingunoA"/>
          <w:rFonts w:ascii="Helvetica Neue" w:hAnsi="Helvetica Neue"/>
          <w:lang w:val="es-ES_tradnl"/>
        </w:rPr>
        <w:t xml:space="preserve">n </w:t>
      </w:r>
      <w:proofErr w:type="gramStart"/>
      <w:r>
        <w:rPr>
          <w:rStyle w:val="NingunoA"/>
          <w:rFonts w:ascii="Helvetica Neue" w:hAnsi="Helvetica Neue"/>
          <w:lang w:val="es-ES_tradnl"/>
        </w:rPr>
        <w:t>el</w:t>
      </w:r>
      <w:proofErr w:type="gramEnd"/>
      <w:r>
        <w:rPr>
          <w:rStyle w:val="NingunoA"/>
          <w:rFonts w:ascii="Helvetica Neue" w:hAnsi="Helvetica Neue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lang w:val="en-US"/>
        </w:rPr>
        <w:t>ó</w:t>
      </w:r>
      <w:r>
        <w:rPr>
          <w:rStyle w:val="NingunoA"/>
          <w:rFonts w:ascii="Helvetica Neue" w:hAnsi="Helvetica Neue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lang w:val="en-US"/>
        </w:rPr>
        <w:t>á</w:t>
      </w:r>
      <w:r w:rsidR="00201FB5">
        <w:rPr>
          <w:rStyle w:val="NingunoA"/>
          <w:rFonts w:ascii="Helvetica Neue" w:hAnsi="Helvetica Neue"/>
          <w:lang w:val="pt-PT"/>
        </w:rPr>
        <w:t>ticas 2019</w:t>
      </w:r>
      <w:bookmarkStart w:id="0" w:name="_GoBack"/>
      <w:bookmarkEnd w:id="0"/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Por medio de la Presente la Sociedad Matemática Mexicana, a través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invita a las Instituciones que deseen ser Sedes Oficiales del II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>ticas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(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). La 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fuente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oficial para dicho examen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fr-FR"/>
        </w:rPr>
        <w:t>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 (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"http://www.ommenlinea.org"</w:instrText>
      </w:r>
      <w:r>
        <w:rPr>
          <w:rStyle w:val="Hyperlink0"/>
        </w:rPr>
        <w:fldChar w:fldCharType="separate"/>
      </w:r>
      <w:r>
        <w:rPr>
          <w:rStyle w:val="Hyperlink0"/>
        </w:rPr>
        <w:t>www.ommenlinea.org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).</w:t>
      </w:r>
    </w:p>
    <w:p w:rsidR="00500D3C" w:rsidRDefault="00500D3C">
      <w:pPr>
        <w:pStyle w:val="CuerpoA"/>
        <w:jc w:val="center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pt-PT"/>
        </w:rPr>
        <w:t>Requisitos para Sedes</w:t>
      </w:r>
    </w:p>
    <w:p w:rsidR="00500D3C" w:rsidRDefault="00500D3C">
      <w:pPr>
        <w:pStyle w:val="CuerpoA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Los requisitos que debe cumplir una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para ser sede oficial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son los siguientes: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Designar un adulto responsable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del examen,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nl-NL"/>
        </w:rPr>
        <w:t>n de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menes y reporte de resultados de la Sede.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Contar con un espacio adecuado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del examen que permita que al menos 20 alumnos pu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dan presentar el examen.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Comprometerse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difusi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 la convocatoria entre los alumnos y escuelas que desea atender.</w:t>
      </w:r>
    </w:p>
    <w:p w:rsidR="00500D3C" w:rsidRDefault="00A36E0F">
      <w:pPr>
        <w:pStyle w:val="CuerpoA"/>
        <w:numPr>
          <w:ilvl w:val="0"/>
          <w:numId w:val="3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Registrar la sede en la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nica que puede encontrarse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gina de internet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</w:t>
      </w:r>
      <w:hyperlink r:id="rId9" w:history="1">
        <w:r>
          <w:rPr>
            <w:rStyle w:val="Hyperlink1"/>
            <w:sz w:val="20"/>
            <w:szCs w:val="20"/>
          </w:rPr>
          <w:t>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center"/>
        <w:rPr>
          <w:rStyle w:val="NingunoA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  </w:t>
      </w:r>
      <w:r w:rsidR="008C15D6" w:rsidRPr="008C15D6"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https://docs.google.com/forms/d/1ChBpaDOB2-TRrUVPuLMoBkvg-CMfx8GCQGN4W2hPksM/edit?ts=5c5ba871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Fechas y Calendario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b/>
          <w:bCs/>
        </w:rPr>
      </w:pP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registro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nico para sedes</w:t>
      </w:r>
      <w:r>
        <w:rPr>
          <w:rStyle w:val="NingunoA"/>
          <w:rFonts w:ascii="Helvetica Neue" w:hAnsi="Helvetica Neue"/>
          <w:sz w:val="20"/>
          <w:szCs w:val="20"/>
        </w:rPr>
        <w:t xml:space="preserve">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</w:rPr>
        <w:t>a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 tardar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 viernes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</w:t>
      </w:r>
      <w:r w:rsidR="001936D8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febrero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convocatoria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para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alumnos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abierta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23 de febrero al 7 de marzo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del examen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del 8 al 16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de acuerdo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 de cada sede.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</w:rPr>
        <w:t>La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publicaci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 soluciones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oficiales del examen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19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</w:rPr>
        <w:t xml:space="preserve">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reportar los resultados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los alumnos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al 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18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 xml:space="preserve"> al</w:t>
      </w:r>
      <w:r>
        <w:rPr>
          <w:rStyle w:val="NingunoA"/>
          <w:rFonts w:ascii="Helvetica Neue" w:hAnsi="Helvetica Neue"/>
          <w:sz w:val="20"/>
          <w:szCs w:val="20"/>
        </w:rPr>
        <w:t xml:space="preserve">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25 de marzo de 2019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 dar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un informe general de resultados el d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a 1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5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 xml:space="preserve"> de Abril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llegar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estatal los resultados de los alumnos que presentaron el examen en su estado. No se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resultados individu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les ni por sede.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lastRenderedPageBreak/>
        <w:t>Objetivo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objetivo de este examen es difundir y promover el tipo de problemas que se resuelven en las olimpiadas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ticas entre los estudiantes de nuestro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motivar a los estudiantes y maestros a participar en este tipo de competencias.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Algunos estados utilizan este examen como un primer examen selectivo para elegir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delegaci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que los represe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en la Olimpiada Nacional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que se realiza cada a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ñ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o en noviembre. Esta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decisi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depende de 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s y delegados estatales,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raz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por la cual se recomienda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 alumno solicitar informes con su respectivo Delegado Estatal. El directorio se encuentra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gina de internet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"http://www.ommenlinea.org/presentacion/quienes-somos/comites-estatales/"</w:instrText>
      </w:r>
      <w:r>
        <w:rPr>
          <w:rStyle w:val="Hyperlink2"/>
        </w:rPr>
        <w:fldChar w:fldCharType="separate"/>
      </w:r>
      <w:r>
        <w:rPr>
          <w:rStyle w:val="Hyperlink2"/>
        </w:rPr>
        <w:t>http://www.ommenlinea.org/presentacion/quienes-somos/comites-estatales/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son muy diferentes a 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escuela. Es importante que los participantes, profesores y padres de familia entiendan que no se espera que un alumno tenga correctas el 100% de las preguntas. Lograr entre 30% y 50% de respuestas es generalmente un buen resultado.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Este examen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no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eval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 conocimientos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sino creatividad, ingenio y habilidades de razonamiento. Estas habilidades solo se desarrollan con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ctica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Recomendamos a los alumnos que busquen apoyarse en los grupos de entren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mientos de su estado, poni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ndose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en contacto con su delegado estatal, y que formen clubes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para apoyarse a prepararse para estos concursos. Algunos sitios recomendados para trabajar los problemas son los 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guientes: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Pagina oficial de </w:t>
      </w:r>
      <w:proofErr w:type="gramStart"/>
      <w:r>
        <w:rPr>
          <w:rStyle w:val="NingunoA"/>
          <w:rFonts w:ascii="Helvetica Neue" w:hAnsi="Helvetica Neue"/>
          <w:sz w:val="18"/>
          <w:szCs w:val="18"/>
          <w:lang w:val="pt-PT"/>
        </w:rPr>
        <w:t>la</w:t>
      </w:r>
      <w:proofErr w:type="gramEnd"/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 OMM: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"http://www.ommenlinea.org/material-de-entrenamiento/introductorio"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http://www.ommenlinea.org/material-de-entrenamiento/introductorio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>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tico Mexicano: </w:t>
      </w:r>
      <w:r>
        <w:rPr>
          <w:rStyle w:val="Hyperlink4"/>
        </w:rPr>
        <w:fldChar w:fldCharType="begin"/>
      </w:r>
      <w:r>
        <w:rPr>
          <w:rStyle w:val="Hyperlink4"/>
        </w:rPr>
        <w:instrText xml:space="preserve"> HYPERLINK "http://canguro.deltagauge.info"</w:instrText>
      </w:r>
      <w:r>
        <w:rPr>
          <w:rStyle w:val="Hyperlink4"/>
        </w:rPr>
        <w:fldChar w:fldCharType="separate"/>
      </w:r>
      <w:r>
        <w:rPr>
          <w:rStyle w:val="Hyperlink4"/>
        </w:rPr>
        <w:t>http://canguro.deltagauge.info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 xml:space="preserve"> 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>tico Espa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ñ</w:t>
      </w:r>
      <w:r>
        <w:rPr>
          <w:rStyle w:val="NingunoA"/>
          <w:rFonts w:ascii="Helvetica Neue" w:hAnsi="Helvetica Neue"/>
          <w:sz w:val="18"/>
          <w:szCs w:val="18"/>
        </w:rPr>
        <w:t xml:space="preserve">a: </w:t>
      </w:r>
      <w:hyperlink r:id="rId10" w:history="1">
        <w:r>
          <w:rPr>
            <w:rStyle w:val="Hyperlink5"/>
          </w:rPr>
          <w:t>http://www.canguromat.org.es</w:t>
        </w:r>
      </w:hyperlink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18"/>
          <w:szCs w:val="18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y tipos de Sedes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se clasifican en dos tipos: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Sedes ABIERTAS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instituciones que aceptar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registro de cualquier participante para presentar el examen en sus instalaciones. Estas sedes aceptan que su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est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disponible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la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como sus canales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comunicaci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n, a fin de difundir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participaci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</w:t>
      </w: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de-DE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de-DE"/>
        </w:rPr>
        <w:t>Sedes CERRADAS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aquellas escuelas o colegios que solamente aplicar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a sus propios alumnos.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En cada caso, la sede se compromete a llevar un registro de los alumnos que asistir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y a dar informes a los alumnos que lo soliciten.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a reportar los resultados en las fechas indicadas.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Formato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12 problemas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opci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ltiple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Se espera que la sede garantice un espacio de al menos 90 minutos para que los estudiantes puedan resolver dicho examen. Cada sede fijar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su horario de inicio del examen. Los alumnos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citados con 30 minutos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anticipaci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lastRenderedPageBreak/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nacional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 responsable de la sede de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n, la lista de regi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trados (archivo de Excel) a la sede e indicaciones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del examen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, el 7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de dos hojas con preguntas y una hoja de respuestas (un total de 3 hojas). Cada sede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preparar las copias del examen. Se solicitar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participantes que lleven material para escribir y hojas blancas (para impresora), pero recomendamos a las sedes tener paquetes de hojas. Los participantes tienen el compromiso de no publicar las p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reguntas del examen antes del 16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 w:rsidP="008C15D6">
      <w:pPr>
        <w:pStyle w:val="CuerpoA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de alumnos</w:t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Una vez cerrado el registro de sedes,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registro a los participantes. Ellos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tendr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acceso a la lista de sedes abiertas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podr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elegir la sede que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les convenga. El enlace para el registro de participantes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23 de febrero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y 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OMM (</w:t>
      </w:r>
      <w:hyperlink r:id="rId11" w:history="1">
        <w:r>
          <w:rPr>
            <w:rStyle w:val="Hyperlink6"/>
          </w:rPr>
          <w:t>http://www.ommenlinea.org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). El registro de participantes se cerrar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a 7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 bien cuando se haya alcanzado la capacidad l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mite de la sede.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Soluciones y </w:t>
      </w:r>
      <w:proofErr w:type="spellStart"/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nl-NL"/>
        </w:rPr>
        <w:t>n de ex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á</w:t>
      </w:r>
      <w:r>
        <w:rPr>
          <w:rStyle w:val="NingunoA"/>
          <w:rFonts w:ascii="Helvetica Neue" w:hAnsi="Helvetica Neue"/>
          <w:b/>
          <w:bCs/>
          <w:sz w:val="26"/>
          <w:szCs w:val="26"/>
        </w:rPr>
        <w:t>menes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47234A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18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marzo se publicar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soluciones en la p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(y se enviar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a los responsables).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responsabilidad de la sede revisar los ex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menes aplicados. Una vez revisados, los responsables deber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llenar un registro de result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dos en l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nea en un enlace que les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pt-PT"/>
        </w:rPr>
        <w:t xml:space="preserve">enviado previamente.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Resultados y siguientes actividades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nacional no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puntajes individuales ni de las sedes, sin embargo, preparar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 informe general de los resultados nacionales. Los resultados de cada sede se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al delegado estatal de cada entidad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rep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bl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Solo el delegado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 en cada estado definir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alumnos que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inv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tados a los procesos de entrenamiento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 equipos estatales. Esto se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acuerdo con las capacidades de cada estado. 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Dudas e Información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Para cualquier información adicional escribir al correo electrónico: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center"/>
      </w:pPr>
      <w:r>
        <w:rPr>
          <w:rStyle w:val="NingunoA"/>
          <w:rFonts w:ascii="Helvetica Neue" w:hAnsi="Helvetica Neue"/>
          <w:b/>
          <w:bCs/>
          <w:sz w:val="24"/>
          <w:szCs w:val="24"/>
          <w:lang w:val="es-ES_tradnl"/>
        </w:rPr>
        <w:t>exameninvitacionomm@gmail.com</w:t>
      </w:r>
    </w:p>
    <w:sectPr w:rsidR="00500D3C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CD" w:rsidRDefault="009C4ECD">
      <w:r>
        <w:separator/>
      </w:r>
    </w:p>
  </w:endnote>
  <w:endnote w:type="continuationSeparator" w:id="0">
    <w:p w:rsidR="009C4ECD" w:rsidRDefault="009C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CD" w:rsidRDefault="009C4ECD">
      <w:r>
        <w:separator/>
      </w:r>
    </w:p>
  </w:footnote>
  <w:footnote w:type="continuationSeparator" w:id="0">
    <w:p w:rsidR="009C4ECD" w:rsidRDefault="009C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6B0"/>
    <w:multiLevelType w:val="hybridMultilevel"/>
    <w:tmpl w:val="00A4EE00"/>
    <w:styleLink w:val="Estiloimportado1"/>
    <w:lvl w:ilvl="0" w:tplc="0FE4E47A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E8C6E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C58F0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AAA06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40F62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EB022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AD89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9654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68EB0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9F0167"/>
    <w:multiLevelType w:val="hybridMultilevel"/>
    <w:tmpl w:val="00A4EE00"/>
    <w:numStyleLink w:val="Estiloimportado1"/>
  </w:abstractNum>
  <w:abstractNum w:abstractNumId="2">
    <w:nsid w:val="3C276145"/>
    <w:multiLevelType w:val="hybridMultilevel"/>
    <w:tmpl w:val="5AB40FA0"/>
    <w:numStyleLink w:val="Estiloimportado2"/>
  </w:abstractNum>
  <w:abstractNum w:abstractNumId="3">
    <w:nsid w:val="74495EAF"/>
    <w:multiLevelType w:val="hybridMultilevel"/>
    <w:tmpl w:val="5AB40FA0"/>
    <w:styleLink w:val="Estiloimportado2"/>
    <w:lvl w:ilvl="0" w:tplc="E0945232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48C8A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0FFAA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CF24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6AAC8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B0A12E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ED3E8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8E3E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63692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1F240202">
        <w:start w:val="1"/>
        <w:numFmt w:val="bullet"/>
        <w:lvlText w:val="●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888D96">
        <w:start w:val="1"/>
        <w:numFmt w:val="bullet"/>
        <w:lvlText w:val="○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728528">
        <w:start w:val="1"/>
        <w:numFmt w:val="bullet"/>
        <w:lvlText w:val="■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C2D24C">
        <w:start w:val="1"/>
        <w:numFmt w:val="bullet"/>
        <w:lvlText w:val="●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A260A8">
        <w:start w:val="1"/>
        <w:numFmt w:val="bullet"/>
        <w:lvlText w:val="○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6603A0">
        <w:start w:val="1"/>
        <w:numFmt w:val="bullet"/>
        <w:lvlText w:val="■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9227C6">
        <w:start w:val="1"/>
        <w:numFmt w:val="bullet"/>
        <w:lvlText w:val="●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C8D270">
        <w:start w:val="1"/>
        <w:numFmt w:val="bullet"/>
        <w:lvlText w:val="○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A2B9E0">
        <w:start w:val="1"/>
        <w:numFmt w:val="bullet"/>
        <w:lvlText w:val="■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D3C"/>
    <w:rsid w:val="001936D8"/>
    <w:rsid w:val="00201FB5"/>
    <w:rsid w:val="0047234A"/>
    <w:rsid w:val="00500D3C"/>
    <w:rsid w:val="0067511B"/>
    <w:rsid w:val="008C15D6"/>
    <w:rsid w:val="009C4ECD"/>
    <w:rsid w:val="00A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m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nguromat.org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m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RVD</dc:creator>
  <cp:lastModifiedBy>RVD</cp:lastModifiedBy>
  <cp:revision>7</cp:revision>
  <dcterms:created xsi:type="dcterms:W3CDTF">2019-02-04T17:14:00Z</dcterms:created>
  <dcterms:modified xsi:type="dcterms:W3CDTF">2019-02-14T16:39:00Z</dcterms:modified>
</cp:coreProperties>
</file>